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6F1D4">
      <w:pPr>
        <w:widowControl w:val="0"/>
        <w:snapToGrid w:val="0"/>
        <w:spacing w:line="360" w:lineRule="auto"/>
        <w:jc w:val="both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附件2</w:t>
      </w:r>
    </w:p>
    <w:p w14:paraId="2EEE8BD9">
      <w:pPr>
        <w:widowControl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会议公共交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通路线图</w:t>
      </w:r>
    </w:p>
    <w:p w14:paraId="5AED1BD8">
      <w:pPr>
        <w:widowControl w:val="0"/>
        <w:snapToGrid w:val="0"/>
        <w:spacing w:line="360" w:lineRule="auto"/>
        <w:jc w:val="both"/>
        <w:rPr>
          <w:rFonts w:ascii="Calibri" w:hAnsi="Calibri" w:eastAsia="仿宋" w:cs="Times New Roman"/>
          <w:kern w:val="2"/>
          <w:sz w:val="20"/>
          <w:szCs w:val="22"/>
          <w:lang w:val="en-US" w:eastAsia="zh-CN" w:bidi="ar-SA"/>
        </w:rPr>
      </w:pPr>
      <w:r>
        <w:rPr>
          <w:rFonts w:ascii="Calibri" w:hAnsi="Calibri" w:eastAsia="仿宋" w:cs="Times New Roman"/>
          <w:kern w:val="2"/>
          <w:sz w:val="20"/>
          <w:szCs w:val="22"/>
          <w:lang w:val="en-US" w:eastAsia="zh-CN" w:bidi="ar-SA"/>
        </w:rPr>
        <w:drawing>
          <wp:inline distT="0" distB="0" distL="114300" distR="114300">
            <wp:extent cx="5614670" cy="3206115"/>
            <wp:effectExtent l="0" t="0" r="508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E7D61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1.杭州火车东站</w:t>
      </w:r>
    </w:p>
    <w:p w14:paraId="5D4592C6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地铁：乘坐杭州地铁一号线（湘湖方向）至“打铁关”换乘杭州地铁五号线（南湖东方向）至“拱宸桥东”下车步行约700米至杭州百瑞运河大饭店。</w:t>
      </w:r>
    </w:p>
    <w:p w14:paraId="7EA1CB5A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公交车：于火车东站西乘坐杭州33路公交车至“地铁拱宸桥东站”下车步行约600m至杭州百瑞运河大饭店。</w:t>
      </w:r>
    </w:p>
    <w:p w14:paraId="4B4F5CE3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2.杭州站</w:t>
      </w:r>
    </w:p>
    <w:p w14:paraId="7AB3EEF0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地铁：乘坐杭州地铁五号线（南湖东方向）至“拱宸桥东”下车步行约700米至杭州百瑞运河大饭店。</w:t>
      </w:r>
    </w:p>
    <w:p w14:paraId="0ACCAE59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公交车：于城站火车站（地铁A3口）乘坐杭州185路公交车至“绍兴新村”下车步行约一公里至杭州百瑞运河大饭店。</w:t>
      </w:r>
    </w:p>
    <w:p w14:paraId="1D59929A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3.杭州火车西站</w:t>
      </w:r>
    </w:p>
    <w:p w14:paraId="3B6A2D5A">
      <w:pPr>
        <w:widowControl w:val="0"/>
        <w:snapToGrid w:val="0"/>
        <w:spacing w:line="360" w:lineRule="auto"/>
        <w:jc w:val="both"/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Calibri" w:hAnsi="Calibri" w:eastAsia="仿宋" w:cs="Times New Roman"/>
          <w:kern w:val="2"/>
          <w:sz w:val="21"/>
          <w:szCs w:val="21"/>
          <w:lang w:val="en-US" w:eastAsia="zh-CN" w:bidi="ar-SA"/>
        </w:rPr>
        <w:t>地铁：乘坐杭州地铁十九号线（永盛路方向）至“创景路”换乘杭州地铁五号线（姑娘桥方向）至“拱宸桥东”下车步行约700米至杭州百瑞运河大饭店。</w:t>
      </w:r>
    </w:p>
    <w:p w14:paraId="06CF0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163D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AD8163D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50" w:beforeLines="50" w:after="50" w:afterLines="5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2025-10-11T01:56:00Z</dcterms:created>
  <dc:creator>浙江省生态环境监测协会</dc:creator>
  <cp:lastModifiedBy>浙江省生态环境监测协会</cp:lastModifiedBy>
  <dcterms:modified xsi:type="dcterms:W3CDTF">2025-10-11T01:56:48Z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7A0D3BFF11314E43A04EC0FCC60506C3_11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